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E26F" w14:textId="39D090D8" w:rsidR="00953375" w:rsidRDefault="00953375">
      <w:bookmarkStart w:id="0" w:name="_Toc8794015"/>
      <w:bookmarkStart w:id="1" w:name="_Toc351534875"/>
    </w:p>
    <w:p w14:paraId="1151841D" w14:textId="77777777" w:rsidR="00953375" w:rsidRDefault="00953375"/>
    <w:p w14:paraId="007441AD" w14:textId="71950483" w:rsidR="001E5707" w:rsidRDefault="000F0F0B">
      <w:pPr>
        <w:pStyle w:val="Heading1"/>
      </w:pPr>
      <w:r>
        <w:t xml:space="preserve">BMT CTN PatIENT AND CAREGIVER </w:t>
      </w:r>
      <w:bookmarkEnd w:id="0"/>
      <w:bookmarkEnd w:id="1"/>
      <w:r>
        <w:t>ADVOCACY CoMMITTEE</w:t>
      </w:r>
    </w:p>
    <w:p w14:paraId="070849D7" w14:textId="77777777" w:rsidR="001E5707" w:rsidRDefault="00DA6284" w:rsidP="00DA6284">
      <w:pPr>
        <w:pStyle w:val="Heading2"/>
      </w:pPr>
      <w:bookmarkStart w:id="2" w:name="_Toc351534876"/>
      <w:r>
        <w:t>Introduction</w:t>
      </w:r>
      <w:bookmarkEnd w:id="2"/>
    </w:p>
    <w:p w14:paraId="18E0E55D" w14:textId="7E4CF93B" w:rsidR="00447E50" w:rsidRDefault="00447E50" w:rsidP="00447E50">
      <w:pPr>
        <w:jc w:val="both"/>
        <w:rPr>
          <w:szCs w:val="24"/>
        </w:rPr>
      </w:pPr>
      <w:r>
        <w:rPr>
          <w:szCs w:val="24"/>
        </w:rPr>
        <w:t xml:space="preserve">This committee </w:t>
      </w:r>
      <w:r w:rsidR="00D60CC7">
        <w:rPr>
          <w:szCs w:val="24"/>
        </w:rPr>
        <w:t xml:space="preserve">was formed and </w:t>
      </w:r>
      <w:r>
        <w:rPr>
          <w:szCs w:val="24"/>
        </w:rPr>
        <w:t xml:space="preserve">operates under these tenets: </w:t>
      </w:r>
    </w:p>
    <w:p w14:paraId="3EED4E47" w14:textId="33B43244" w:rsidR="00447E50" w:rsidRDefault="00447E50" w:rsidP="00447E50">
      <w:pPr>
        <w:pStyle w:val="ListParagraph"/>
        <w:numPr>
          <w:ilvl w:val="0"/>
          <w:numId w:val="136"/>
        </w:numPr>
        <w:jc w:val="both"/>
        <w:rPr>
          <w:szCs w:val="24"/>
        </w:rPr>
      </w:pPr>
      <w:r w:rsidRPr="00447E50">
        <w:rPr>
          <w:szCs w:val="24"/>
        </w:rPr>
        <w:t>Patient and caregiver advocacy and engagement is important for successful clinical research that addresses issues that are important to the patients being served</w:t>
      </w:r>
    </w:p>
    <w:p w14:paraId="0848C18B" w14:textId="307CB9E2" w:rsidR="00447E50" w:rsidRDefault="00447E50" w:rsidP="00447E50">
      <w:pPr>
        <w:pStyle w:val="ListParagraph"/>
        <w:numPr>
          <w:ilvl w:val="0"/>
          <w:numId w:val="136"/>
        </w:numPr>
        <w:jc w:val="both"/>
        <w:rPr>
          <w:szCs w:val="24"/>
        </w:rPr>
      </w:pPr>
      <w:r w:rsidRPr="00447E50">
        <w:rPr>
          <w:szCs w:val="24"/>
        </w:rPr>
        <w:t>Patients and patient advocates provide important insights into barriers to transplant and trial access</w:t>
      </w:r>
    </w:p>
    <w:p w14:paraId="6F57F884" w14:textId="4BA9316B" w:rsidR="00447E50" w:rsidRDefault="00753BF9" w:rsidP="00447E50">
      <w:pPr>
        <w:pStyle w:val="ListParagraph"/>
        <w:numPr>
          <w:ilvl w:val="0"/>
          <w:numId w:val="136"/>
        </w:numPr>
        <w:jc w:val="both"/>
        <w:rPr>
          <w:szCs w:val="24"/>
        </w:rPr>
      </w:pPr>
      <w:r>
        <w:rPr>
          <w:szCs w:val="24"/>
        </w:rPr>
        <w:t>A p</w:t>
      </w:r>
      <w:r w:rsidR="00447E50" w:rsidRPr="00447E50">
        <w:rPr>
          <w:szCs w:val="24"/>
        </w:rPr>
        <w:t>atient-centric approach minimize</w:t>
      </w:r>
      <w:r>
        <w:rPr>
          <w:szCs w:val="24"/>
        </w:rPr>
        <w:t>s</w:t>
      </w:r>
      <w:r w:rsidR="00447E50" w:rsidRPr="00447E50">
        <w:rPr>
          <w:szCs w:val="24"/>
        </w:rPr>
        <w:t xml:space="preserve"> trial-imposed burdens to patients and increase</w:t>
      </w:r>
      <w:r w:rsidR="004B72AA">
        <w:rPr>
          <w:szCs w:val="24"/>
        </w:rPr>
        <w:t>s</w:t>
      </w:r>
      <w:r w:rsidR="00447E50" w:rsidRPr="00447E50">
        <w:rPr>
          <w:szCs w:val="24"/>
        </w:rPr>
        <w:t xml:space="preserve"> participation</w:t>
      </w:r>
      <w:r w:rsidR="00F0309D">
        <w:rPr>
          <w:szCs w:val="24"/>
        </w:rPr>
        <w:t xml:space="preserve"> of patients from all ages, genders, and racial, </w:t>
      </w:r>
      <w:proofErr w:type="gramStart"/>
      <w:r w:rsidR="00F0309D">
        <w:rPr>
          <w:szCs w:val="24"/>
        </w:rPr>
        <w:t>ethnic</w:t>
      </w:r>
      <w:proofErr w:type="gramEnd"/>
      <w:r w:rsidR="00F0309D">
        <w:rPr>
          <w:szCs w:val="24"/>
        </w:rPr>
        <w:t xml:space="preserve"> and socioeconomic groups</w:t>
      </w:r>
    </w:p>
    <w:p w14:paraId="6A3593BC" w14:textId="4B933F5F" w:rsidR="00447E50" w:rsidRPr="00447E50" w:rsidRDefault="00447E50" w:rsidP="00447E50">
      <w:pPr>
        <w:pStyle w:val="ListParagraph"/>
        <w:numPr>
          <w:ilvl w:val="0"/>
          <w:numId w:val="136"/>
        </w:numPr>
        <w:jc w:val="both"/>
        <w:rPr>
          <w:szCs w:val="24"/>
        </w:rPr>
      </w:pPr>
      <w:r w:rsidRPr="00447E50">
        <w:rPr>
          <w:szCs w:val="24"/>
        </w:rPr>
        <w:t xml:space="preserve">Increased engagement by patients </w:t>
      </w:r>
      <w:r w:rsidR="00753BF9">
        <w:rPr>
          <w:szCs w:val="24"/>
        </w:rPr>
        <w:t xml:space="preserve">and care givers </w:t>
      </w:r>
      <w:r w:rsidRPr="00447E50">
        <w:rPr>
          <w:szCs w:val="24"/>
        </w:rPr>
        <w:t xml:space="preserve">through diverse avenues, including social media, can lead to increased awareness of and participation in trials </w:t>
      </w:r>
    </w:p>
    <w:p w14:paraId="3CBE515D" w14:textId="56973242" w:rsidR="00DA6284" w:rsidRPr="00D60CC7" w:rsidRDefault="00DA6284">
      <w:pPr>
        <w:jc w:val="both"/>
        <w:rPr>
          <w:szCs w:val="24"/>
        </w:rPr>
      </w:pPr>
    </w:p>
    <w:p w14:paraId="6C443666" w14:textId="77777777" w:rsidR="001E5707" w:rsidRDefault="00FB48CF" w:rsidP="00FB48CF">
      <w:pPr>
        <w:pStyle w:val="Heading2"/>
      </w:pPr>
      <w:bookmarkStart w:id="3" w:name="_Toc351015764"/>
      <w:bookmarkStart w:id="4" w:name="_Toc351534877"/>
      <w:bookmarkEnd w:id="3"/>
      <w:r>
        <w:t>Purpose</w:t>
      </w:r>
      <w:bookmarkEnd w:id="4"/>
    </w:p>
    <w:p w14:paraId="7B976357" w14:textId="08FDBF96" w:rsidR="001A01A9" w:rsidRDefault="00FB48CF" w:rsidP="00FB48CF">
      <w:pPr>
        <w:jc w:val="both"/>
        <w:rPr>
          <w:szCs w:val="24"/>
        </w:rPr>
      </w:pPr>
      <w:r w:rsidRPr="00FB48CF">
        <w:rPr>
          <w:szCs w:val="24"/>
        </w:rPr>
        <w:t xml:space="preserve">The purpose of the </w:t>
      </w:r>
      <w:r w:rsidR="008278CF">
        <w:rPr>
          <w:szCs w:val="24"/>
        </w:rPr>
        <w:t>Patient and Caregiver Advocacy</w:t>
      </w:r>
      <w:r w:rsidRPr="00FB48CF">
        <w:rPr>
          <w:szCs w:val="24"/>
        </w:rPr>
        <w:t xml:space="preserve"> Committee </w:t>
      </w:r>
      <w:bookmarkStart w:id="5" w:name="_Hlk105154662"/>
      <w:r w:rsidRPr="00FB48CF">
        <w:rPr>
          <w:szCs w:val="24"/>
        </w:rPr>
        <w:t xml:space="preserve">is to ensure that </w:t>
      </w:r>
      <w:r w:rsidR="008278CF">
        <w:rPr>
          <w:szCs w:val="24"/>
        </w:rPr>
        <w:t xml:space="preserve">patient and caregiver </w:t>
      </w:r>
      <w:r w:rsidR="006E5B88">
        <w:rPr>
          <w:szCs w:val="24"/>
        </w:rPr>
        <w:t>perspective</w:t>
      </w:r>
      <w:r w:rsidR="00753BF9">
        <w:rPr>
          <w:szCs w:val="24"/>
        </w:rPr>
        <w:t>s</w:t>
      </w:r>
      <w:r w:rsidR="008278CF">
        <w:rPr>
          <w:szCs w:val="24"/>
        </w:rPr>
        <w:t xml:space="preserve"> </w:t>
      </w:r>
      <w:r w:rsidR="00753BF9">
        <w:rPr>
          <w:szCs w:val="24"/>
        </w:rPr>
        <w:t xml:space="preserve">are </w:t>
      </w:r>
      <w:r w:rsidR="008278CF">
        <w:rPr>
          <w:szCs w:val="24"/>
        </w:rPr>
        <w:t>included in</w:t>
      </w:r>
      <w:r w:rsidR="001A01A9">
        <w:rPr>
          <w:szCs w:val="24"/>
        </w:rPr>
        <w:t xml:space="preserve"> </w:t>
      </w:r>
      <w:r w:rsidR="006E5B88">
        <w:rPr>
          <w:szCs w:val="24"/>
        </w:rPr>
        <w:t xml:space="preserve">the </w:t>
      </w:r>
      <w:r w:rsidR="008278CF">
        <w:rPr>
          <w:szCs w:val="24"/>
        </w:rPr>
        <w:t xml:space="preserve">BMT CTN </w:t>
      </w:r>
      <w:r w:rsidR="006E5B88">
        <w:rPr>
          <w:szCs w:val="24"/>
        </w:rPr>
        <w:t>research portfolio</w:t>
      </w:r>
      <w:r w:rsidR="006C3418">
        <w:rPr>
          <w:szCs w:val="24"/>
        </w:rPr>
        <w:t xml:space="preserve"> and trial conduct</w:t>
      </w:r>
      <w:bookmarkEnd w:id="5"/>
      <w:r w:rsidR="001A01A9">
        <w:rPr>
          <w:szCs w:val="24"/>
        </w:rPr>
        <w:t xml:space="preserve">. </w:t>
      </w:r>
      <w:r w:rsidR="008278CF">
        <w:rPr>
          <w:szCs w:val="24"/>
        </w:rPr>
        <w:t xml:space="preserve"> </w:t>
      </w:r>
    </w:p>
    <w:p w14:paraId="4BFC1F0A" w14:textId="40EDB38C" w:rsidR="00FB48CF" w:rsidRPr="00447E50" w:rsidRDefault="00FB48CF" w:rsidP="00FB48CF">
      <w:pPr>
        <w:jc w:val="both"/>
        <w:rPr>
          <w:szCs w:val="24"/>
        </w:rPr>
      </w:pPr>
    </w:p>
    <w:p w14:paraId="3F560C67" w14:textId="77777777" w:rsidR="006E5B88" w:rsidRDefault="006E5B88" w:rsidP="006E5B88">
      <w:pPr>
        <w:pStyle w:val="Heading2"/>
      </w:pPr>
      <w:bookmarkStart w:id="6" w:name="_Toc351534878"/>
      <w:r>
        <w:t>Scope</w:t>
      </w:r>
    </w:p>
    <w:p w14:paraId="6326B271" w14:textId="77777777" w:rsidR="006E5B88" w:rsidRDefault="006E5B88" w:rsidP="006E5B88">
      <w:pPr>
        <w:pStyle w:val="BodyText2"/>
      </w:pPr>
      <w:r>
        <w:t>The Committee’s scope includes providing input on:</w:t>
      </w:r>
    </w:p>
    <w:p w14:paraId="5E988FE3" w14:textId="6FE316C5" w:rsidR="006E5B88" w:rsidRDefault="006E5B88" w:rsidP="006E5B88">
      <w:pPr>
        <w:pStyle w:val="BodyText2"/>
        <w:numPr>
          <w:ilvl w:val="0"/>
          <w:numId w:val="137"/>
        </w:numPr>
      </w:pPr>
      <w:r>
        <w:t>Evaluation and prioritization of study concepts</w:t>
      </w:r>
    </w:p>
    <w:p w14:paraId="1DD4D474" w14:textId="75ED70BC" w:rsidR="006E5B88" w:rsidRDefault="006E5B88" w:rsidP="006E5B88">
      <w:pPr>
        <w:pStyle w:val="BodyText2"/>
        <w:numPr>
          <w:ilvl w:val="0"/>
          <w:numId w:val="137"/>
        </w:numPr>
      </w:pPr>
      <w:r>
        <w:t>I</w:t>
      </w:r>
      <w:r w:rsidRPr="006E5B88">
        <w:t xml:space="preserve">nterface with patient advocacy </w:t>
      </w:r>
      <w:r>
        <w:t xml:space="preserve">and/or community </w:t>
      </w:r>
      <w:r w:rsidRPr="006E5B88">
        <w:t>organizations</w:t>
      </w:r>
    </w:p>
    <w:p w14:paraId="08E72994" w14:textId="310ACF2A" w:rsidR="006E5B88" w:rsidRDefault="006E5B88" w:rsidP="006E5B88">
      <w:pPr>
        <w:pStyle w:val="BodyText2"/>
        <w:numPr>
          <w:ilvl w:val="0"/>
          <w:numId w:val="137"/>
        </w:numPr>
      </w:pPr>
      <w:r>
        <w:t>Protocol team patient and caregiver engagement plans</w:t>
      </w:r>
    </w:p>
    <w:p w14:paraId="6C659103" w14:textId="08FFB81D" w:rsidR="006E5B88" w:rsidRDefault="006E5B88" w:rsidP="006E5B88">
      <w:pPr>
        <w:pStyle w:val="BodyText2"/>
        <w:numPr>
          <w:ilvl w:val="0"/>
          <w:numId w:val="137"/>
        </w:numPr>
      </w:pPr>
      <w:r>
        <w:t xml:space="preserve">Patient, </w:t>
      </w:r>
      <w:proofErr w:type="gramStart"/>
      <w:r>
        <w:t>caregiver</w:t>
      </w:r>
      <w:proofErr w:type="gramEnd"/>
      <w:r>
        <w:t xml:space="preserve"> and family-facing materials, including protocols, consent forms and </w:t>
      </w:r>
      <w:r w:rsidR="00DB43EF">
        <w:t xml:space="preserve">study and </w:t>
      </w:r>
      <w:r>
        <w:t>results summaries</w:t>
      </w:r>
    </w:p>
    <w:p w14:paraId="594D42AF" w14:textId="340F780C" w:rsidR="006E5B88" w:rsidRDefault="006E5B88" w:rsidP="006E5B88">
      <w:pPr>
        <w:pStyle w:val="BodyText2"/>
        <w:numPr>
          <w:ilvl w:val="0"/>
          <w:numId w:val="137"/>
        </w:numPr>
      </w:pPr>
      <w:r>
        <w:t>Website and social media content and communication plans.</w:t>
      </w:r>
    </w:p>
    <w:p w14:paraId="507D3249" w14:textId="77777777" w:rsidR="006E5B88" w:rsidRDefault="006E5B88" w:rsidP="006E5B88">
      <w:pPr>
        <w:pStyle w:val="BodyText2"/>
        <w:ind w:left="792"/>
      </w:pPr>
    </w:p>
    <w:p w14:paraId="3A895EB5" w14:textId="5AA49E86" w:rsidR="00D60CC7" w:rsidRPr="00FB48CF" w:rsidRDefault="00D60CC7" w:rsidP="00D60CC7">
      <w:pPr>
        <w:pStyle w:val="Heading2"/>
      </w:pPr>
      <w:r>
        <w:t>Responsibilities</w:t>
      </w:r>
    </w:p>
    <w:p w14:paraId="0D53E399" w14:textId="59766BFB" w:rsidR="008D57B4" w:rsidRPr="008D57B4" w:rsidRDefault="008D57B4" w:rsidP="008D57B4">
      <w:pPr>
        <w:jc w:val="both"/>
        <w:rPr>
          <w:szCs w:val="24"/>
        </w:rPr>
      </w:pPr>
      <w:r>
        <w:rPr>
          <w:szCs w:val="24"/>
        </w:rPr>
        <w:t xml:space="preserve">The Committee will meet routinely by teleconference </w:t>
      </w:r>
      <w:r w:rsidR="0048606D">
        <w:rPr>
          <w:szCs w:val="24"/>
        </w:rPr>
        <w:t>at least quarterly</w:t>
      </w:r>
      <w:r w:rsidR="00E739F2">
        <w:rPr>
          <w:szCs w:val="24"/>
        </w:rPr>
        <w:t xml:space="preserve">. There may also be work on projects outside of teleconferences, as needed.  </w:t>
      </w:r>
      <w:r>
        <w:rPr>
          <w:szCs w:val="24"/>
        </w:rPr>
        <w:t xml:space="preserve">Responsibilities </w:t>
      </w:r>
      <w:r w:rsidR="00E739F2">
        <w:rPr>
          <w:szCs w:val="24"/>
        </w:rPr>
        <w:t>include:</w:t>
      </w:r>
    </w:p>
    <w:p w14:paraId="508ADA54" w14:textId="6DC74B57" w:rsidR="00753BF9" w:rsidRDefault="00D64806" w:rsidP="00753BF9">
      <w:pPr>
        <w:pStyle w:val="ListParagraph"/>
        <w:numPr>
          <w:ilvl w:val="0"/>
          <w:numId w:val="135"/>
        </w:numPr>
        <w:jc w:val="both"/>
        <w:rPr>
          <w:szCs w:val="24"/>
        </w:rPr>
      </w:pPr>
      <w:r>
        <w:rPr>
          <w:szCs w:val="24"/>
        </w:rPr>
        <w:t>I</w:t>
      </w:r>
      <w:r w:rsidR="005C1B12">
        <w:rPr>
          <w:szCs w:val="24"/>
        </w:rPr>
        <w:t xml:space="preserve">dentify </w:t>
      </w:r>
      <w:r>
        <w:rPr>
          <w:szCs w:val="24"/>
        </w:rPr>
        <w:t xml:space="preserve">areas of research </w:t>
      </w:r>
      <w:r w:rsidR="005C1B12">
        <w:rPr>
          <w:szCs w:val="24"/>
        </w:rPr>
        <w:t>most important to patients</w:t>
      </w:r>
      <w:r>
        <w:rPr>
          <w:szCs w:val="24"/>
        </w:rPr>
        <w:t xml:space="preserve"> and caregivers</w:t>
      </w:r>
    </w:p>
    <w:p w14:paraId="32A41BA8" w14:textId="322185D8" w:rsidR="005C1B12" w:rsidRPr="00753BF9" w:rsidRDefault="005C1B12" w:rsidP="00753BF9">
      <w:pPr>
        <w:pStyle w:val="ListParagraph"/>
        <w:numPr>
          <w:ilvl w:val="0"/>
          <w:numId w:val="135"/>
        </w:numPr>
        <w:jc w:val="both"/>
        <w:rPr>
          <w:szCs w:val="24"/>
        </w:rPr>
      </w:pPr>
      <w:r w:rsidRPr="00753BF9">
        <w:rPr>
          <w:szCs w:val="24"/>
        </w:rPr>
        <w:t>Advise the BMT CTN on ways to increase patient participation in research</w:t>
      </w:r>
      <w:r w:rsidR="00F0309D">
        <w:rPr>
          <w:szCs w:val="24"/>
        </w:rPr>
        <w:t xml:space="preserve"> with a focus on increasing access to a diverse group of patients</w:t>
      </w:r>
    </w:p>
    <w:p w14:paraId="4303145B" w14:textId="165AA6C8" w:rsidR="00D60CC7" w:rsidRDefault="00D64806" w:rsidP="00D60CC7">
      <w:pPr>
        <w:pStyle w:val="ListParagraph"/>
        <w:numPr>
          <w:ilvl w:val="0"/>
          <w:numId w:val="135"/>
        </w:numPr>
        <w:jc w:val="both"/>
        <w:rPr>
          <w:szCs w:val="24"/>
        </w:rPr>
      </w:pPr>
      <w:r>
        <w:rPr>
          <w:szCs w:val="24"/>
        </w:rPr>
        <w:t xml:space="preserve">Provide feedback on </w:t>
      </w:r>
      <w:r w:rsidR="00D60CC7">
        <w:rPr>
          <w:szCs w:val="24"/>
        </w:rPr>
        <w:t>patient and caregiver-facing materials, including:</w:t>
      </w:r>
    </w:p>
    <w:p w14:paraId="513CAE46" w14:textId="564D6CA2" w:rsidR="00E739F2" w:rsidRDefault="00E739F2" w:rsidP="00E739F2">
      <w:pPr>
        <w:pStyle w:val="ListParagraph"/>
        <w:numPr>
          <w:ilvl w:val="1"/>
          <w:numId w:val="135"/>
        </w:numPr>
        <w:jc w:val="both"/>
        <w:rPr>
          <w:szCs w:val="24"/>
        </w:rPr>
      </w:pPr>
      <w:r>
        <w:rPr>
          <w:szCs w:val="24"/>
        </w:rPr>
        <w:t>F</w:t>
      </w:r>
      <w:r w:rsidR="00D60CC7" w:rsidRPr="00A90116">
        <w:rPr>
          <w:szCs w:val="24"/>
        </w:rPr>
        <w:t>inal draft protocol</w:t>
      </w:r>
      <w:r>
        <w:rPr>
          <w:szCs w:val="24"/>
        </w:rPr>
        <w:t xml:space="preserve"> and informed consent documents</w:t>
      </w:r>
      <w:r w:rsidR="00D60CC7" w:rsidRPr="00A90116">
        <w:rPr>
          <w:szCs w:val="24"/>
        </w:rPr>
        <w:t xml:space="preserve"> </w:t>
      </w:r>
      <w:r>
        <w:rPr>
          <w:szCs w:val="24"/>
        </w:rPr>
        <w:t xml:space="preserve">before or </w:t>
      </w:r>
      <w:r w:rsidR="00D60CC7" w:rsidRPr="00A90116">
        <w:rPr>
          <w:szCs w:val="24"/>
        </w:rPr>
        <w:t>at the time of submission to the Protocol Review Committee (PRC)</w:t>
      </w:r>
      <w:r w:rsidR="0048606D">
        <w:rPr>
          <w:szCs w:val="24"/>
        </w:rPr>
        <w:t>, including study-related procedures and visit schedule</w:t>
      </w:r>
    </w:p>
    <w:p w14:paraId="2EC1879F" w14:textId="6A17338A" w:rsidR="00D60CC7" w:rsidRPr="00E739F2" w:rsidRDefault="00E739F2" w:rsidP="00E739F2">
      <w:pPr>
        <w:pStyle w:val="ListParagraph"/>
        <w:numPr>
          <w:ilvl w:val="1"/>
          <w:numId w:val="135"/>
        </w:numPr>
        <w:jc w:val="both"/>
        <w:rPr>
          <w:szCs w:val="24"/>
        </w:rPr>
      </w:pPr>
      <w:r>
        <w:rPr>
          <w:szCs w:val="24"/>
        </w:rPr>
        <w:t>P</w:t>
      </w:r>
      <w:r w:rsidR="00D60CC7" w:rsidRPr="00E739F2">
        <w:rPr>
          <w:szCs w:val="24"/>
        </w:rPr>
        <w:t>rotocol team patient engagement plan prior to study activation</w:t>
      </w:r>
    </w:p>
    <w:p w14:paraId="517C9B27" w14:textId="5582E0B0" w:rsidR="00D60CC7" w:rsidRDefault="00E739F2" w:rsidP="00D60CC7">
      <w:pPr>
        <w:pStyle w:val="ListParagraph"/>
        <w:numPr>
          <w:ilvl w:val="1"/>
          <w:numId w:val="135"/>
        </w:numPr>
        <w:jc w:val="both"/>
        <w:rPr>
          <w:szCs w:val="24"/>
        </w:rPr>
      </w:pPr>
      <w:r>
        <w:rPr>
          <w:szCs w:val="24"/>
        </w:rPr>
        <w:t xml:space="preserve">Website </w:t>
      </w:r>
      <w:r w:rsidR="005C1B12">
        <w:rPr>
          <w:szCs w:val="24"/>
        </w:rPr>
        <w:t xml:space="preserve">and social media </w:t>
      </w:r>
      <w:r>
        <w:rPr>
          <w:szCs w:val="24"/>
        </w:rPr>
        <w:t>content</w:t>
      </w:r>
    </w:p>
    <w:p w14:paraId="67AD17AC" w14:textId="10F9A7D2" w:rsidR="00E739F2" w:rsidRDefault="00E739F2" w:rsidP="00D60CC7">
      <w:pPr>
        <w:pStyle w:val="ListParagraph"/>
        <w:numPr>
          <w:ilvl w:val="1"/>
          <w:numId w:val="135"/>
        </w:numPr>
        <w:jc w:val="both"/>
        <w:rPr>
          <w:szCs w:val="24"/>
        </w:rPr>
      </w:pPr>
      <w:r>
        <w:rPr>
          <w:szCs w:val="24"/>
        </w:rPr>
        <w:t>Study updates and results summaries</w:t>
      </w:r>
    </w:p>
    <w:p w14:paraId="2C9C06EC" w14:textId="10A426C3" w:rsidR="00D60CC7" w:rsidRDefault="00D60CC7" w:rsidP="00D60CC7">
      <w:pPr>
        <w:pStyle w:val="ListParagraph"/>
        <w:numPr>
          <w:ilvl w:val="0"/>
          <w:numId w:val="135"/>
        </w:numPr>
        <w:jc w:val="both"/>
        <w:rPr>
          <w:szCs w:val="24"/>
        </w:rPr>
      </w:pPr>
      <w:r w:rsidRPr="00A90116">
        <w:rPr>
          <w:szCs w:val="24"/>
        </w:rPr>
        <w:t>Promote awareness among patients regarding research opportunities</w:t>
      </w:r>
    </w:p>
    <w:p w14:paraId="046FAF01" w14:textId="00999314" w:rsidR="00D64806" w:rsidRPr="00A90116" w:rsidRDefault="00D64806" w:rsidP="00D60CC7">
      <w:pPr>
        <w:pStyle w:val="ListParagraph"/>
        <w:numPr>
          <w:ilvl w:val="0"/>
          <w:numId w:val="135"/>
        </w:numPr>
        <w:jc w:val="both"/>
        <w:rPr>
          <w:szCs w:val="24"/>
        </w:rPr>
      </w:pPr>
      <w:r>
        <w:rPr>
          <w:szCs w:val="24"/>
        </w:rPr>
        <w:t>Address misconceptions about clinical trial participation</w:t>
      </w:r>
    </w:p>
    <w:p w14:paraId="0974D7D5" w14:textId="77777777" w:rsidR="006E5B88" w:rsidRDefault="006E5B88" w:rsidP="00E739F2">
      <w:pPr>
        <w:pStyle w:val="BodyText2"/>
      </w:pPr>
    </w:p>
    <w:p w14:paraId="223FA564" w14:textId="2F5573FE" w:rsidR="00FB48CF" w:rsidRPr="00FB48CF" w:rsidRDefault="00FB48CF" w:rsidP="00FB48CF">
      <w:pPr>
        <w:pStyle w:val="Heading2"/>
      </w:pPr>
      <w:r w:rsidRPr="00FB48CF">
        <w:t>Membership</w:t>
      </w:r>
      <w:bookmarkEnd w:id="6"/>
    </w:p>
    <w:p w14:paraId="0B80D9DC" w14:textId="5EEAA42D" w:rsidR="00C27DF0" w:rsidRDefault="00C27DF0" w:rsidP="00C27DF0">
      <w:pPr>
        <w:jc w:val="both"/>
        <w:rPr>
          <w:szCs w:val="24"/>
        </w:rPr>
      </w:pPr>
      <w:r>
        <w:rPr>
          <w:szCs w:val="24"/>
        </w:rPr>
        <w:t>Members</w:t>
      </w:r>
      <w:r w:rsidRPr="00C27DF0">
        <w:rPr>
          <w:szCs w:val="24"/>
        </w:rPr>
        <w:t xml:space="preserve"> are identified from a slate of candidates put forth by</w:t>
      </w:r>
      <w:r w:rsidR="0045555B">
        <w:rPr>
          <w:szCs w:val="24"/>
        </w:rPr>
        <w:t xml:space="preserve"> </w:t>
      </w:r>
      <w:r w:rsidRPr="00C27DF0">
        <w:rPr>
          <w:szCs w:val="24"/>
        </w:rPr>
        <w:t>the Nominating Committee and approved by the Steering Committee</w:t>
      </w:r>
      <w:r>
        <w:rPr>
          <w:szCs w:val="24"/>
        </w:rPr>
        <w:t xml:space="preserve">. They include: </w:t>
      </w:r>
    </w:p>
    <w:p w14:paraId="7EA25511" w14:textId="32F1F9C2" w:rsidR="00C27DF0" w:rsidRDefault="00C27DF0" w:rsidP="00C27DF0">
      <w:pPr>
        <w:pStyle w:val="ListParagraph"/>
        <w:numPr>
          <w:ilvl w:val="0"/>
          <w:numId w:val="133"/>
        </w:numPr>
        <w:jc w:val="both"/>
        <w:rPr>
          <w:szCs w:val="24"/>
        </w:rPr>
      </w:pPr>
      <w:bookmarkStart w:id="7" w:name="_Hlk105155415"/>
      <w:r>
        <w:rPr>
          <w:szCs w:val="24"/>
        </w:rPr>
        <w:t xml:space="preserve">Up to </w:t>
      </w:r>
      <w:r w:rsidR="00B862E4">
        <w:rPr>
          <w:szCs w:val="24"/>
        </w:rPr>
        <w:t>12</w:t>
      </w:r>
      <w:r w:rsidRPr="00C27DF0">
        <w:rPr>
          <w:szCs w:val="24"/>
        </w:rPr>
        <w:t xml:space="preserve"> voting members involved with HCT either as a patient, caregiver, family member, </w:t>
      </w:r>
      <w:bookmarkStart w:id="8" w:name="_Hlk105154882"/>
      <w:r w:rsidRPr="00C27DF0">
        <w:rPr>
          <w:szCs w:val="24"/>
        </w:rPr>
        <w:t>donor</w:t>
      </w:r>
      <w:r w:rsidR="00F0309D">
        <w:rPr>
          <w:szCs w:val="24"/>
        </w:rPr>
        <w:t>, healthcare provider</w:t>
      </w:r>
      <w:r w:rsidRPr="00C27DF0">
        <w:rPr>
          <w:szCs w:val="24"/>
        </w:rPr>
        <w:t xml:space="preserve"> or staff person/volunteer with an agency that interacts with HCT patients or donors</w:t>
      </w:r>
      <w:bookmarkEnd w:id="8"/>
      <w:bookmarkEnd w:id="7"/>
    </w:p>
    <w:p w14:paraId="47777DDB" w14:textId="4405F65F" w:rsidR="002F1734" w:rsidRPr="00C27DF0" w:rsidRDefault="002F1734" w:rsidP="00C27DF0">
      <w:pPr>
        <w:pStyle w:val="ListParagraph"/>
        <w:numPr>
          <w:ilvl w:val="0"/>
          <w:numId w:val="133"/>
        </w:numPr>
        <w:jc w:val="both"/>
        <w:rPr>
          <w:szCs w:val="24"/>
        </w:rPr>
      </w:pPr>
      <w:r>
        <w:rPr>
          <w:szCs w:val="24"/>
        </w:rPr>
        <w:t>Committee Chair to serve 2</w:t>
      </w:r>
      <w:r w:rsidR="00364888">
        <w:rPr>
          <w:szCs w:val="24"/>
        </w:rPr>
        <w:t>-</w:t>
      </w:r>
      <w:r>
        <w:rPr>
          <w:szCs w:val="24"/>
        </w:rPr>
        <w:t>year term</w:t>
      </w:r>
    </w:p>
    <w:p w14:paraId="4FAE6F29" w14:textId="0F72B2B0" w:rsidR="00C27DF0" w:rsidRPr="00C27DF0" w:rsidRDefault="00C27DF0" w:rsidP="00C27DF0">
      <w:pPr>
        <w:pStyle w:val="ListParagraph"/>
        <w:numPr>
          <w:ilvl w:val="0"/>
          <w:numId w:val="133"/>
        </w:numPr>
        <w:jc w:val="both"/>
        <w:rPr>
          <w:szCs w:val="24"/>
        </w:rPr>
      </w:pPr>
      <w:r>
        <w:rPr>
          <w:szCs w:val="24"/>
        </w:rPr>
        <w:t>BMT CTN e</w:t>
      </w:r>
      <w:r w:rsidRPr="00C27DF0">
        <w:rPr>
          <w:szCs w:val="24"/>
        </w:rPr>
        <w:t xml:space="preserve">x-officio members from </w:t>
      </w:r>
      <w:r>
        <w:rPr>
          <w:szCs w:val="24"/>
        </w:rPr>
        <w:t>the DCC and NIH</w:t>
      </w:r>
    </w:p>
    <w:p w14:paraId="0E4DF5DF" w14:textId="654FD25F" w:rsidR="00FB48CF" w:rsidRDefault="00FB48CF" w:rsidP="00FB48CF">
      <w:pPr>
        <w:jc w:val="both"/>
        <w:rPr>
          <w:szCs w:val="24"/>
        </w:rPr>
      </w:pPr>
    </w:p>
    <w:p w14:paraId="6148A523" w14:textId="1F89D3C0" w:rsidR="00C27DF0" w:rsidRPr="00C27DF0" w:rsidRDefault="00C27DF0" w:rsidP="00C27DF0">
      <w:pPr>
        <w:jc w:val="both"/>
        <w:rPr>
          <w:szCs w:val="24"/>
        </w:rPr>
      </w:pPr>
      <w:r w:rsidRPr="00C27DF0">
        <w:rPr>
          <w:szCs w:val="24"/>
        </w:rPr>
        <w:t>In addition, committee membership strives to represent a diversity of backgrounds, including persons who:</w:t>
      </w:r>
    </w:p>
    <w:p w14:paraId="5FDCCA03" w14:textId="3A4EC4A1" w:rsidR="00C27DF0" w:rsidRDefault="00C27DF0" w:rsidP="00C27DF0">
      <w:pPr>
        <w:pStyle w:val="ListParagraph"/>
        <w:numPr>
          <w:ilvl w:val="0"/>
          <w:numId w:val="134"/>
        </w:numPr>
        <w:jc w:val="both"/>
        <w:rPr>
          <w:szCs w:val="24"/>
        </w:rPr>
      </w:pPr>
      <w:bookmarkStart w:id="9" w:name="_Hlk105157923"/>
      <w:r w:rsidRPr="00C27DF0">
        <w:rPr>
          <w:szCs w:val="24"/>
        </w:rPr>
        <w:t>Understand adult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adolescent</w:t>
      </w:r>
      <w:proofErr w:type="gramEnd"/>
      <w:r w:rsidR="008278CF">
        <w:rPr>
          <w:szCs w:val="24"/>
        </w:rPr>
        <w:t xml:space="preserve"> and young adult,</w:t>
      </w:r>
      <w:r w:rsidRPr="00C27DF0">
        <w:rPr>
          <w:szCs w:val="24"/>
        </w:rPr>
        <w:t xml:space="preserve"> and</w:t>
      </w:r>
      <w:r w:rsidR="008278CF">
        <w:rPr>
          <w:szCs w:val="24"/>
        </w:rPr>
        <w:t>/</w:t>
      </w:r>
      <w:r w:rsidRPr="00C27DF0">
        <w:rPr>
          <w:szCs w:val="24"/>
        </w:rPr>
        <w:t>or pediatric HCT issues</w:t>
      </w:r>
    </w:p>
    <w:p w14:paraId="311CFD3D" w14:textId="699353C4" w:rsidR="00C27DF0" w:rsidRDefault="00C27DF0" w:rsidP="00C27DF0">
      <w:pPr>
        <w:pStyle w:val="ListParagraph"/>
        <w:numPr>
          <w:ilvl w:val="0"/>
          <w:numId w:val="134"/>
        </w:numPr>
        <w:jc w:val="both"/>
        <w:rPr>
          <w:szCs w:val="24"/>
        </w:rPr>
      </w:pPr>
      <w:r w:rsidRPr="00C27DF0">
        <w:rPr>
          <w:szCs w:val="24"/>
        </w:rPr>
        <w:t>Understand issues that affect access to or outcomes of HCT secondary to demographics and diversity</w:t>
      </w:r>
    </w:p>
    <w:p w14:paraId="3743ACAA" w14:textId="0B9D0595" w:rsidR="00C27DF0" w:rsidRDefault="00C27DF0" w:rsidP="00C27DF0">
      <w:pPr>
        <w:pStyle w:val="ListParagraph"/>
        <w:numPr>
          <w:ilvl w:val="0"/>
          <w:numId w:val="134"/>
        </w:numPr>
        <w:jc w:val="both"/>
        <w:rPr>
          <w:szCs w:val="24"/>
        </w:rPr>
      </w:pPr>
      <w:r w:rsidRPr="00C27DF0">
        <w:rPr>
          <w:szCs w:val="24"/>
        </w:rPr>
        <w:t>Have been or understand the needs of a related and</w:t>
      </w:r>
      <w:r w:rsidR="008278CF">
        <w:rPr>
          <w:szCs w:val="24"/>
        </w:rPr>
        <w:t>/or</w:t>
      </w:r>
      <w:r w:rsidRPr="00C27DF0">
        <w:rPr>
          <w:szCs w:val="24"/>
        </w:rPr>
        <w:t xml:space="preserve"> unrelated donors</w:t>
      </w:r>
    </w:p>
    <w:p w14:paraId="16F04014" w14:textId="66D10EB6" w:rsidR="00C27DF0" w:rsidRDefault="00C27DF0" w:rsidP="00C27DF0">
      <w:pPr>
        <w:pStyle w:val="ListParagraph"/>
        <w:numPr>
          <w:ilvl w:val="0"/>
          <w:numId w:val="134"/>
        </w:numPr>
        <w:jc w:val="both"/>
        <w:rPr>
          <w:szCs w:val="24"/>
        </w:rPr>
      </w:pPr>
      <w:r w:rsidRPr="00C27DF0">
        <w:rPr>
          <w:szCs w:val="24"/>
        </w:rPr>
        <w:t>Are actively involved in HCT-related research</w:t>
      </w:r>
    </w:p>
    <w:p w14:paraId="424670E9" w14:textId="1D1EC9F9" w:rsidR="00C27DF0" w:rsidRPr="008278CF" w:rsidRDefault="00C27DF0" w:rsidP="00C27DF0">
      <w:pPr>
        <w:pStyle w:val="ListParagraph"/>
        <w:numPr>
          <w:ilvl w:val="0"/>
          <w:numId w:val="134"/>
        </w:numPr>
        <w:jc w:val="both"/>
        <w:rPr>
          <w:szCs w:val="24"/>
        </w:rPr>
      </w:pPr>
      <w:r w:rsidRPr="00C27DF0">
        <w:rPr>
          <w:szCs w:val="24"/>
        </w:rPr>
        <w:t>Have marketing, communications</w:t>
      </w:r>
      <w:r w:rsidR="008278CF">
        <w:rPr>
          <w:szCs w:val="24"/>
        </w:rPr>
        <w:t>, social media and/</w:t>
      </w:r>
      <w:r w:rsidRPr="00C27DF0">
        <w:rPr>
          <w:szCs w:val="24"/>
        </w:rPr>
        <w:t>or professional writing experience</w:t>
      </w:r>
      <w:bookmarkEnd w:id="9"/>
    </w:p>
    <w:p w14:paraId="2C280F60" w14:textId="77777777" w:rsidR="00C27DF0" w:rsidRPr="00FB48CF" w:rsidRDefault="00C27DF0" w:rsidP="00FB48CF">
      <w:pPr>
        <w:jc w:val="both"/>
        <w:rPr>
          <w:szCs w:val="24"/>
        </w:rPr>
      </w:pPr>
    </w:p>
    <w:p w14:paraId="5FDE1A17" w14:textId="7AF6611C" w:rsidR="00FB48CF" w:rsidRPr="00FB48CF" w:rsidRDefault="00FB48CF" w:rsidP="00FB48CF">
      <w:pPr>
        <w:rPr>
          <w:szCs w:val="24"/>
        </w:rPr>
      </w:pPr>
      <w:r w:rsidRPr="00FB48CF">
        <w:rPr>
          <w:szCs w:val="24"/>
        </w:rPr>
        <w:t xml:space="preserve">Non-ex-officio members serve for </w:t>
      </w:r>
      <w:r w:rsidR="008278CF" w:rsidRPr="00FB48CF">
        <w:rPr>
          <w:szCs w:val="24"/>
        </w:rPr>
        <w:t>three-year</w:t>
      </w:r>
      <w:r w:rsidRPr="00FB48CF">
        <w:rPr>
          <w:szCs w:val="24"/>
        </w:rPr>
        <w:t xml:space="preserve"> terms that are staggered to permit annual rotations.</w:t>
      </w:r>
    </w:p>
    <w:p w14:paraId="669BD964" w14:textId="77777777" w:rsidR="00FB48CF" w:rsidRPr="00FB48CF" w:rsidRDefault="00FB48CF" w:rsidP="00FB48CF">
      <w:pPr>
        <w:jc w:val="both"/>
        <w:rPr>
          <w:szCs w:val="24"/>
        </w:rPr>
      </w:pPr>
    </w:p>
    <w:p w14:paraId="2F0D1A86" w14:textId="77777777" w:rsidR="001E5707" w:rsidRPr="000F0F0B" w:rsidRDefault="001E5707" w:rsidP="000F0F0B">
      <w:pPr>
        <w:pStyle w:val="Heading1"/>
        <w:numPr>
          <w:ilvl w:val="0"/>
          <w:numId w:val="0"/>
        </w:numPr>
        <w:rPr>
          <w:b w:val="0"/>
          <w:bCs/>
          <w:iCs/>
        </w:rPr>
      </w:pPr>
    </w:p>
    <w:sectPr w:rsidR="001E5707" w:rsidRPr="000F0F0B" w:rsidSect="000F0F0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7D43" w14:textId="77777777" w:rsidR="00AC5B25" w:rsidRDefault="00AC5B25">
      <w:r>
        <w:separator/>
      </w:r>
    </w:p>
  </w:endnote>
  <w:endnote w:type="continuationSeparator" w:id="0">
    <w:p w14:paraId="49310023" w14:textId="77777777" w:rsidR="00AC5B25" w:rsidRDefault="00AC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F85A" w14:textId="32802EFF" w:rsidR="00296A29" w:rsidRDefault="00296A29">
    <w:pPr>
      <w:pStyle w:val="Footer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8CC4" w14:textId="77777777" w:rsidR="00AC5B25" w:rsidRDefault="00AC5B25">
      <w:r>
        <w:separator/>
      </w:r>
    </w:p>
  </w:footnote>
  <w:footnote w:type="continuationSeparator" w:id="0">
    <w:p w14:paraId="79644553" w14:textId="77777777" w:rsidR="00AC5B25" w:rsidRDefault="00AC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BA71" w14:textId="4E56F04A" w:rsidR="00364888" w:rsidRDefault="0036488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4D1E19" wp14:editId="009E72F3">
          <wp:simplePos x="0" y="0"/>
          <wp:positionH relativeFrom="column">
            <wp:posOffset>2105025</wp:posOffset>
          </wp:positionH>
          <wp:positionV relativeFrom="paragraph">
            <wp:posOffset>-276225</wp:posOffset>
          </wp:positionV>
          <wp:extent cx="1634093" cy="640080"/>
          <wp:effectExtent l="0" t="0" r="444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093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FD04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1D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1E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000001F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0000020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000002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000002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0000023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00000024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03F040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4596D7B"/>
    <w:multiLevelType w:val="hybridMultilevel"/>
    <w:tmpl w:val="C34A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D1478"/>
    <w:multiLevelType w:val="hybridMultilevel"/>
    <w:tmpl w:val="EAEA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E2258"/>
    <w:multiLevelType w:val="hybridMultilevel"/>
    <w:tmpl w:val="450AFE50"/>
    <w:lvl w:ilvl="0" w:tplc="D0606F92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CB55CA"/>
    <w:multiLevelType w:val="hybridMultilevel"/>
    <w:tmpl w:val="FB6E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210E3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0D9F4067"/>
    <w:multiLevelType w:val="multilevel"/>
    <w:tmpl w:val="F03257A8"/>
    <w:lvl w:ilvl="0">
      <w:start w:val="1"/>
      <w:numFmt w:val="decimal"/>
      <w:pStyle w:val="Appendix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FED2DD4"/>
    <w:multiLevelType w:val="hybridMultilevel"/>
    <w:tmpl w:val="9782CF02"/>
    <w:lvl w:ilvl="0" w:tplc="26EA3A8A">
      <w:start w:val="1"/>
      <w:numFmt w:val="bullet"/>
      <w:lvlText w:val="­"/>
      <w:lvlJc w:val="left"/>
      <w:pPr>
        <w:tabs>
          <w:tab w:val="num" w:pos="1468"/>
        </w:tabs>
        <w:ind w:left="1468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36C8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195746F1"/>
    <w:multiLevelType w:val="hybridMultilevel"/>
    <w:tmpl w:val="A56CCAC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1A501A35"/>
    <w:multiLevelType w:val="hybridMultilevel"/>
    <w:tmpl w:val="1AD0138C"/>
    <w:lvl w:ilvl="0" w:tplc="26EA3A8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2"/>
        </w:tabs>
        <w:ind w:left="17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20" w15:restartNumberingAfterBreak="0">
    <w:nsid w:val="1B7753CD"/>
    <w:multiLevelType w:val="singleLevel"/>
    <w:tmpl w:val="A078A44C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1BFC5800"/>
    <w:multiLevelType w:val="multilevel"/>
    <w:tmpl w:val="531252E8"/>
    <w:lvl w:ilvl="0">
      <w:start w:val="1"/>
      <w:numFmt w:val="decimal"/>
      <w:pStyle w:val="Appendix2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1DF44306"/>
    <w:multiLevelType w:val="multilevel"/>
    <w:tmpl w:val="098C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E83AA0"/>
    <w:multiLevelType w:val="multilevel"/>
    <w:tmpl w:val="BE488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0505A82"/>
    <w:multiLevelType w:val="hybridMultilevel"/>
    <w:tmpl w:val="F96EA2F0"/>
    <w:lvl w:ilvl="0" w:tplc="14B61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466CA"/>
    <w:multiLevelType w:val="hybridMultilevel"/>
    <w:tmpl w:val="82E2766A"/>
    <w:lvl w:ilvl="0" w:tplc="D546850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1C07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F4105C"/>
    <w:multiLevelType w:val="hybridMultilevel"/>
    <w:tmpl w:val="88A0F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3F23CDD"/>
    <w:multiLevelType w:val="multilevel"/>
    <w:tmpl w:val="6B481460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8" w15:restartNumberingAfterBreak="0">
    <w:nsid w:val="24337150"/>
    <w:multiLevelType w:val="singleLevel"/>
    <w:tmpl w:val="A3265A86"/>
    <w:lvl w:ilvl="0">
      <w:start w:val="1"/>
      <w:numFmt w:val="decimal"/>
      <w:pStyle w:val="ListNumber2"/>
      <w:lvlText w:val="%1."/>
      <w:lvlJc w:val="left"/>
      <w:pPr>
        <w:tabs>
          <w:tab w:val="num" w:pos="648"/>
        </w:tabs>
        <w:ind w:left="648" w:hanging="360"/>
      </w:pPr>
      <w:rPr>
        <w:b w:val="0"/>
        <w:i w:val="0"/>
        <w:sz w:val="24"/>
      </w:rPr>
    </w:lvl>
  </w:abstractNum>
  <w:abstractNum w:abstractNumId="29" w15:restartNumberingAfterBreak="0">
    <w:nsid w:val="24D0704E"/>
    <w:multiLevelType w:val="hybridMultilevel"/>
    <w:tmpl w:val="46AA7CE0"/>
    <w:lvl w:ilvl="0" w:tplc="8D00C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A013A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28BB4E76"/>
    <w:multiLevelType w:val="multilevel"/>
    <w:tmpl w:val="BE488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C44DA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2AE56119"/>
    <w:multiLevelType w:val="multilevel"/>
    <w:tmpl w:val="7B26CE1A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sz w:val="28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2BC274DB"/>
    <w:multiLevelType w:val="multilevel"/>
    <w:tmpl w:val="8616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20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347D2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2DE8466E"/>
    <w:multiLevelType w:val="hybridMultilevel"/>
    <w:tmpl w:val="5038DD94"/>
    <w:lvl w:ilvl="0" w:tplc="26EA3A8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2"/>
        </w:tabs>
        <w:ind w:left="17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37" w15:restartNumberingAfterBreak="0">
    <w:nsid w:val="2F120D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30CD728F"/>
    <w:multiLevelType w:val="hybridMultilevel"/>
    <w:tmpl w:val="82E2766A"/>
    <w:lvl w:ilvl="0" w:tplc="D546850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1C07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A37B9F"/>
    <w:multiLevelType w:val="singleLevel"/>
    <w:tmpl w:val="FA94C37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35B94292"/>
    <w:multiLevelType w:val="hybridMultilevel"/>
    <w:tmpl w:val="52086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6C854A9"/>
    <w:multiLevelType w:val="hybridMultilevel"/>
    <w:tmpl w:val="82E2766A"/>
    <w:lvl w:ilvl="0" w:tplc="D546850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1C07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DF1FE0"/>
    <w:multiLevelType w:val="multilevel"/>
    <w:tmpl w:val="2BC2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26607EE"/>
    <w:multiLevelType w:val="singleLevel"/>
    <w:tmpl w:val="530200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4" w15:restartNumberingAfterBreak="0">
    <w:nsid w:val="4298792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430852D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46045DB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7" w15:restartNumberingAfterBreak="0">
    <w:nsid w:val="49383F47"/>
    <w:multiLevelType w:val="multilevel"/>
    <w:tmpl w:val="81C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B0414BD"/>
    <w:multiLevelType w:val="hybridMultilevel"/>
    <w:tmpl w:val="72209F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D6B51B4"/>
    <w:multiLevelType w:val="singleLevel"/>
    <w:tmpl w:val="BABE890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50" w15:restartNumberingAfterBreak="0">
    <w:nsid w:val="4EB966C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1" w15:restartNumberingAfterBreak="0">
    <w:nsid w:val="531B01D3"/>
    <w:multiLevelType w:val="hybridMultilevel"/>
    <w:tmpl w:val="628AB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55D20E3"/>
    <w:multiLevelType w:val="singleLevel"/>
    <w:tmpl w:val="B0CAE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6E27319"/>
    <w:multiLevelType w:val="hybridMultilevel"/>
    <w:tmpl w:val="E4B48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492C2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5" w15:restartNumberingAfterBreak="0">
    <w:nsid w:val="5876747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6" w15:restartNumberingAfterBreak="0">
    <w:nsid w:val="588B1D0A"/>
    <w:multiLevelType w:val="singleLevel"/>
    <w:tmpl w:val="530200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7" w15:restartNumberingAfterBreak="0">
    <w:nsid w:val="59E7454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8" w15:restartNumberingAfterBreak="0">
    <w:nsid w:val="59FA1A40"/>
    <w:multiLevelType w:val="multilevel"/>
    <w:tmpl w:val="8416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1567B67"/>
    <w:multiLevelType w:val="singleLevel"/>
    <w:tmpl w:val="A1C693BC"/>
    <w:lvl w:ilvl="0">
      <w:start w:val="1"/>
      <w:numFmt w:val="bullet"/>
      <w:pStyle w:val="ListNumbe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</w:abstractNum>
  <w:abstractNum w:abstractNumId="60" w15:restartNumberingAfterBreak="0">
    <w:nsid w:val="63C95204"/>
    <w:multiLevelType w:val="hybridMultilevel"/>
    <w:tmpl w:val="82E2766A"/>
    <w:lvl w:ilvl="0" w:tplc="D546850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85908B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C32F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2" w15:restartNumberingAfterBreak="0">
    <w:nsid w:val="64601172"/>
    <w:multiLevelType w:val="hybridMultilevel"/>
    <w:tmpl w:val="D36E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F80F39"/>
    <w:multiLevelType w:val="singleLevel"/>
    <w:tmpl w:val="2F3C59B8"/>
    <w:lvl w:ilvl="0">
      <w:start w:val="1"/>
      <w:numFmt w:val="bullet"/>
      <w:pStyle w:val="ListBullet4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u w:val="none"/>
      </w:rPr>
    </w:lvl>
  </w:abstractNum>
  <w:abstractNum w:abstractNumId="64" w15:restartNumberingAfterBreak="0">
    <w:nsid w:val="68014956"/>
    <w:multiLevelType w:val="multilevel"/>
    <w:tmpl w:val="7312E0B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u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5" w15:restartNumberingAfterBreak="0">
    <w:nsid w:val="68FA18C6"/>
    <w:multiLevelType w:val="singleLevel"/>
    <w:tmpl w:val="530200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66" w15:restartNumberingAfterBreak="0">
    <w:nsid w:val="69693C08"/>
    <w:multiLevelType w:val="hybridMultilevel"/>
    <w:tmpl w:val="94261DA4"/>
    <w:lvl w:ilvl="0" w:tplc="26EA3A8A">
      <w:start w:val="1"/>
      <w:numFmt w:val="bullet"/>
      <w:lvlText w:val="­"/>
      <w:lvlJc w:val="left"/>
      <w:pPr>
        <w:tabs>
          <w:tab w:val="num" w:pos="1656"/>
        </w:tabs>
        <w:ind w:left="1656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67" w15:restartNumberingAfterBreak="0">
    <w:nsid w:val="73861D3C"/>
    <w:multiLevelType w:val="multilevel"/>
    <w:tmpl w:val="6C22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6783C6A"/>
    <w:multiLevelType w:val="multilevel"/>
    <w:tmpl w:val="CB0A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74725B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0" w15:restartNumberingAfterBreak="0">
    <w:nsid w:val="78675535"/>
    <w:multiLevelType w:val="multilevel"/>
    <w:tmpl w:val="BE488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87156C2"/>
    <w:multiLevelType w:val="multilevel"/>
    <w:tmpl w:val="61602F7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72" w15:restartNumberingAfterBreak="0">
    <w:nsid w:val="789F425F"/>
    <w:multiLevelType w:val="hybridMultilevel"/>
    <w:tmpl w:val="DDD8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887F9D"/>
    <w:multiLevelType w:val="multilevel"/>
    <w:tmpl w:val="B176AF66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74" w15:restartNumberingAfterBreak="0">
    <w:nsid w:val="7CC2614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5" w15:restartNumberingAfterBreak="0">
    <w:nsid w:val="7F41393C"/>
    <w:multiLevelType w:val="multilevel"/>
    <w:tmpl w:val="DD82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64"/>
  </w:num>
  <w:num w:numId="4">
    <w:abstractNumId w:val="49"/>
  </w:num>
  <w:num w:numId="5">
    <w:abstractNumId w:val="20"/>
  </w:num>
  <w:num w:numId="6">
    <w:abstractNumId w:val="63"/>
  </w:num>
  <w:num w:numId="7">
    <w:abstractNumId w:val="28"/>
  </w:num>
  <w:num w:numId="8">
    <w:abstractNumId w:val="59"/>
  </w:num>
  <w:num w:numId="9">
    <w:abstractNumId w:val="0"/>
  </w:num>
  <w:num w:numId="10">
    <w:abstractNumId w:val="33"/>
  </w:num>
  <w:num w:numId="11">
    <w:abstractNumId w:val="61"/>
  </w:num>
  <w:num w:numId="12">
    <w:abstractNumId w:val="57"/>
  </w:num>
  <w:num w:numId="13">
    <w:abstractNumId w:val="45"/>
  </w:num>
  <w:num w:numId="14">
    <w:abstractNumId w:val="44"/>
  </w:num>
  <w:num w:numId="15">
    <w:abstractNumId w:val="74"/>
  </w:num>
  <w:num w:numId="16">
    <w:abstractNumId w:val="32"/>
  </w:num>
  <w:num w:numId="17">
    <w:abstractNumId w:val="69"/>
  </w:num>
  <w:num w:numId="18">
    <w:abstractNumId w:val="30"/>
  </w:num>
  <w:num w:numId="19">
    <w:abstractNumId w:val="55"/>
  </w:num>
  <w:num w:numId="20">
    <w:abstractNumId w:val="54"/>
  </w:num>
  <w:num w:numId="21">
    <w:abstractNumId w:val="17"/>
  </w:num>
  <w:num w:numId="22">
    <w:abstractNumId w:val="50"/>
  </w:num>
  <w:num w:numId="23">
    <w:abstractNumId w:val="14"/>
  </w:num>
  <w:num w:numId="24">
    <w:abstractNumId w:val="46"/>
  </w:num>
  <w:num w:numId="25">
    <w:abstractNumId w:val="35"/>
  </w:num>
  <w:num w:numId="26">
    <w:abstractNumId w:val="28"/>
    <w:lvlOverride w:ilvl="0">
      <w:startOverride w:val="1"/>
    </w:lvlOverride>
  </w:num>
  <w:num w:numId="27">
    <w:abstractNumId w:val="28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75"/>
  </w:num>
  <w:num w:numId="30">
    <w:abstractNumId w:val="22"/>
  </w:num>
  <w:num w:numId="31">
    <w:abstractNumId w:val="42"/>
  </w:num>
  <w:num w:numId="32">
    <w:abstractNumId w:val="34"/>
  </w:num>
  <w:num w:numId="33">
    <w:abstractNumId w:val="73"/>
  </w:num>
  <w:num w:numId="34">
    <w:abstractNumId w:val="27"/>
  </w:num>
  <w:num w:numId="35">
    <w:abstractNumId w:val="71"/>
  </w:num>
  <w:num w:numId="36">
    <w:abstractNumId w:val="65"/>
  </w:num>
  <w:num w:numId="37">
    <w:abstractNumId w:val="52"/>
  </w:num>
  <w:num w:numId="38">
    <w:abstractNumId w:val="43"/>
  </w:num>
  <w:num w:numId="39">
    <w:abstractNumId w:val="56"/>
  </w:num>
  <w:num w:numId="40">
    <w:abstractNumId w:val="31"/>
  </w:num>
  <w:num w:numId="41">
    <w:abstractNumId w:val="39"/>
  </w:num>
  <w:num w:numId="42">
    <w:abstractNumId w:val="3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43">
    <w:abstractNumId w:val="3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44">
    <w:abstractNumId w:val="3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45">
    <w:abstractNumId w:val="3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46">
    <w:abstractNumId w:val="1"/>
  </w:num>
  <w:num w:numId="47">
    <w:abstractNumId w:val="2"/>
  </w:num>
  <w:num w:numId="48">
    <w:abstractNumId w:val="3"/>
  </w:num>
  <w:num w:numId="49">
    <w:abstractNumId w:val="4"/>
  </w:num>
  <w:num w:numId="50">
    <w:abstractNumId w:val="5"/>
  </w:num>
  <w:num w:numId="51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0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1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0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1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4">
    <w:abstractNumId w:val="6"/>
  </w:num>
  <w:num w:numId="7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6">
    <w:abstractNumId w:val="7"/>
  </w:num>
  <w:num w:numId="97">
    <w:abstractNumId w:val="8"/>
  </w:num>
  <w:num w:numId="9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0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1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3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4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5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6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7">
    <w:abstractNumId w:val="70"/>
  </w:num>
  <w:num w:numId="108">
    <w:abstractNumId w:val="23"/>
  </w:num>
  <w:num w:numId="109">
    <w:abstractNumId w:val="60"/>
  </w:num>
  <w:num w:numId="110">
    <w:abstractNumId w:val="41"/>
  </w:num>
  <w:num w:numId="111">
    <w:abstractNumId w:val="38"/>
  </w:num>
  <w:num w:numId="112">
    <w:abstractNumId w:val="25"/>
  </w:num>
  <w:num w:numId="113">
    <w:abstractNumId w:val="12"/>
  </w:num>
  <w:num w:numId="114">
    <w:abstractNumId w:val="66"/>
  </w:num>
  <w:num w:numId="115">
    <w:abstractNumId w:val="36"/>
  </w:num>
  <w:num w:numId="116">
    <w:abstractNumId w:val="19"/>
  </w:num>
  <w:num w:numId="117">
    <w:abstractNumId w:val="16"/>
  </w:num>
  <w:num w:numId="118">
    <w:abstractNumId w:val="26"/>
  </w:num>
  <w:num w:numId="119">
    <w:abstractNumId w:val="10"/>
  </w:num>
  <w:num w:numId="120">
    <w:abstractNumId w:val="53"/>
  </w:num>
  <w:num w:numId="121">
    <w:abstractNumId w:val="62"/>
  </w:num>
  <w:num w:numId="1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"/>
  </w:num>
  <w:num w:numId="125">
    <w:abstractNumId w:val="37"/>
  </w:num>
  <w:num w:numId="126">
    <w:abstractNumId w:val="48"/>
  </w:num>
  <w:num w:numId="127">
    <w:abstractNumId w:val="29"/>
  </w:num>
  <w:num w:numId="128">
    <w:abstractNumId w:val="24"/>
  </w:num>
  <w:num w:numId="129">
    <w:abstractNumId w:val="47"/>
  </w:num>
  <w:num w:numId="130">
    <w:abstractNumId w:val="58"/>
  </w:num>
  <w:num w:numId="131">
    <w:abstractNumId w:val="67"/>
  </w:num>
  <w:num w:numId="132">
    <w:abstractNumId w:val="68"/>
  </w:num>
  <w:num w:numId="133">
    <w:abstractNumId w:val="72"/>
  </w:num>
  <w:num w:numId="134">
    <w:abstractNumId w:val="11"/>
  </w:num>
  <w:num w:numId="135">
    <w:abstractNumId w:val="40"/>
  </w:num>
  <w:num w:numId="136">
    <w:abstractNumId w:val="13"/>
  </w:num>
  <w:num w:numId="137">
    <w:abstractNumId w:val="18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6D"/>
    <w:rsid w:val="00082404"/>
    <w:rsid w:val="000B5744"/>
    <w:rsid w:val="000B6818"/>
    <w:rsid w:val="000B7EF8"/>
    <w:rsid w:val="000F0F0B"/>
    <w:rsid w:val="001A01A9"/>
    <w:rsid w:val="001E0149"/>
    <w:rsid w:val="001E5707"/>
    <w:rsid w:val="00213218"/>
    <w:rsid w:val="00296A29"/>
    <w:rsid w:val="002D4465"/>
    <w:rsid w:val="002D4854"/>
    <w:rsid w:val="002D5426"/>
    <w:rsid w:val="002E1637"/>
    <w:rsid w:val="002F1734"/>
    <w:rsid w:val="00347565"/>
    <w:rsid w:val="0035299D"/>
    <w:rsid w:val="0036467B"/>
    <w:rsid w:val="00364888"/>
    <w:rsid w:val="003702D9"/>
    <w:rsid w:val="00387B91"/>
    <w:rsid w:val="003A636D"/>
    <w:rsid w:val="003C174A"/>
    <w:rsid w:val="00447E50"/>
    <w:rsid w:val="0045555B"/>
    <w:rsid w:val="004571CB"/>
    <w:rsid w:val="0048606D"/>
    <w:rsid w:val="004B72AA"/>
    <w:rsid w:val="004C0314"/>
    <w:rsid w:val="004D330C"/>
    <w:rsid w:val="005844F3"/>
    <w:rsid w:val="005B0BC3"/>
    <w:rsid w:val="005C1B12"/>
    <w:rsid w:val="005F5D21"/>
    <w:rsid w:val="00635F10"/>
    <w:rsid w:val="00643A00"/>
    <w:rsid w:val="0065252B"/>
    <w:rsid w:val="00653FCE"/>
    <w:rsid w:val="00676649"/>
    <w:rsid w:val="006C3418"/>
    <w:rsid w:val="006E30A6"/>
    <w:rsid w:val="006E5B88"/>
    <w:rsid w:val="0071603A"/>
    <w:rsid w:val="00753BF9"/>
    <w:rsid w:val="00754287"/>
    <w:rsid w:val="00770407"/>
    <w:rsid w:val="00794338"/>
    <w:rsid w:val="007A1F13"/>
    <w:rsid w:val="007B42D0"/>
    <w:rsid w:val="007C18A0"/>
    <w:rsid w:val="008278CF"/>
    <w:rsid w:val="00847F8D"/>
    <w:rsid w:val="00854109"/>
    <w:rsid w:val="008607A5"/>
    <w:rsid w:val="00874A26"/>
    <w:rsid w:val="008A6CCF"/>
    <w:rsid w:val="008D57B4"/>
    <w:rsid w:val="008D666C"/>
    <w:rsid w:val="008D775B"/>
    <w:rsid w:val="008E5487"/>
    <w:rsid w:val="00923B40"/>
    <w:rsid w:val="009427AA"/>
    <w:rsid w:val="00953375"/>
    <w:rsid w:val="00962EA2"/>
    <w:rsid w:val="0096765C"/>
    <w:rsid w:val="009733C8"/>
    <w:rsid w:val="00975353"/>
    <w:rsid w:val="00A0751B"/>
    <w:rsid w:val="00A26256"/>
    <w:rsid w:val="00A661AE"/>
    <w:rsid w:val="00A90116"/>
    <w:rsid w:val="00AB75AA"/>
    <w:rsid w:val="00AC1698"/>
    <w:rsid w:val="00AC5136"/>
    <w:rsid w:val="00AC5B25"/>
    <w:rsid w:val="00AC65F6"/>
    <w:rsid w:val="00AD4E71"/>
    <w:rsid w:val="00B55E50"/>
    <w:rsid w:val="00B862E4"/>
    <w:rsid w:val="00B9406A"/>
    <w:rsid w:val="00BA2F76"/>
    <w:rsid w:val="00C27DF0"/>
    <w:rsid w:val="00C91038"/>
    <w:rsid w:val="00D07EC1"/>
    <w:rsid w:val="00D104BC"/>
    <w:rsid w:val="00D2009C"/>
    <w:rsid w:val="00D328E6"/>
    <w:rsid w:val="00D42EC6"/>
    <w:rsid w:val="00D60CC7"/>
    <w:rsid w:val="00D64806"/>
    <w:rsid w:val="00D70BD3"/>
    <w:rsid w:val="00DA6284"/>
    <w:rsid w:val="00DB43EF"/>
    <w:rsid w:val="00DE5251"/>
    <w:rsid w:val="00DF4C9B"/>
    <w:rsid w:val="00E04116"/>
    <w:rsid w:val="00E11498"/>
    <w:rsid w:val="00E4670D"/>
    <w:rsid w:val="00E739F2"/>
    <w:rsid w:val="00E76108"/>
    <w:rsid w:val="00EC3273"/>
    <w:rsid w:val="00EC52D9"/>
    <w:rsid w:val="00ED2195"/>
    <w:rsid w:val="00F00E3A"/>
    <w:rsid w:val="00F0309D"/>
    <w:rsid w:val="00F42FD6"/>
    <w:rsid w:val="00F712AF"/>
    <w:rsid w:val="00F81D9F"/>
    <w:rsid w:val="00F83F26"/>
    <w:rsid w:val="00F92960"/>
    <w:rsid w:val="00F955C3"/>
    <w:rsid w:val="00FB48CF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BB322"/>
  <w15:chartTrackingRefBased/>
  <w15:docId w15:val="{15717DAA-348D-4724-9CD7-1A7F3EEA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left" w:pos="720"/>
        <w:tab w:val="left" w:pos="1080"/>
        <w:tab w:val="left" w:pos="1440"/>
        <w:tab w:val="left" w:pos="2160"/>
      </w:tabs>
      <w:spacing w:after="120"/>
      <w:outlineLvl w:val="0"/>
    </w:pPr>
    <w:rPr>
      <w:b/>
      <w:caps/>
      <w:color w:val="000000"/>
    </w:rPr>
  </w:style>
  <w:style w:type="paragraph" w:styleId="Heading2">
    <w:name w:val="heading 2"/>
    <w:basedOn w:val="Normal"/>
    <w:next w:val="BodyText2"/>
    <w:link w:val="Heading2Char"/>
    <w:qFormat/>
    <w:pPr>
      <w:keepNext/>
      <w:numPr>
        <w:ilvl w:val="1"/>
        <w:numId w:val="3"/>
      </w:numPr>
      <w:tabs>
        <w:tab w:val="left" w:pos="720"/>
      </w:tabs>
      <w:spacing w:after="120"/>
      <w:ind w:left="432"/>
      <w:outlineLvl w:val="1"/>
    </w:pPr>
    <w:rPr>
      <w:b/>
    </w:rPr>
  </w:style>
  <w:style w:type="paragraph" w:styleId="Heading3">
    <w:name w:val="heading 3"/>
    <w:basedOn w:val="Heading2"/>
    <w:next w:val="BodyText3"/>
    <w:qFormat/>
    <w:pPr>
      <w:numPr>
        <w:ilvl w:val="2"/>
      </w:numPr>
      <w:ind w:left="504"/>
      <w:outlineLvl w:val="2"/>
    </w:pPr>
    <w:rPr>
      <w:b w:val="0"/>
    </w:rPr>
  </w:style>
  <w:style w:type="paragraph" w:styleId="Heading4">
    <w:name w:val="heading 4"/>
    <w:basedOn w:val="Heading3"/>
    <w:next w:val="BodyText4"/>
    <w:qFormat/>
    <w:pPr>
      <w:numPr>
        <w:ilvl w:val="3"/>
      </w:numPr>
      <w:tabs>
        <w:tab w:val="clear" w:pos="720"/>
        <w:tab w:val="left" w:pos="1080"/>
        <w:tab w:val="left" w:pos="1440"/>
      </w:tabs>
      <w:ind w:left="648"/>
      <w:outlineLvl w:val="3"/>
    </w:pPr>
  </w:style>
  <w:style w:type="paragraph" w:styleId="Heading5">
    <w:name w:val="heading 5"/>
    <w:basedOn w:val="Heading4"/>
    <w:next w:val="BodyText5"/>
    <w:qFormat/>
    <w:pPr>
      <w:numPr>
        <w:ilvl w:val="4"/>
      </w:numPr>
      <w:tabs>
        <w:tab w:val="left" w:pos="720"/>
        <w:tab w:val="left" w:pos="990"/>
      </w:tabs>
      <w:ind w:left="792"/>
      <w:jc w:val="both"/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224"/>
        <w:tab w:val="left" w:pos="1734"/>
        <w:tab w:val="left" w:pos="2244"/>
        <w:tab w:val="left" w:pos="2754"/>
        <w:tab w:val="left" w:pos="3264"/>
        <w:tab w:val="left" w:pos="3774"/>
        <w:tab w:val="left" w:pos="4320"/>
        <w:tab w:val="left" w:pos="4794"/>
        <w:tab w:val="left" w:pos="5304"/>
        <w:tab w:val="left" w:pos="5814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spacing w:before="120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spacing w:before="240"/>
      <w:jc w:val="center"/>
      <w:outlineLvl w:val="8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both"/>
    </w:pPr>
    <w:rPr>
      <w:color w:val="000000"/>
    </w:rPr>
  </w:style>
  <w:style w:type="paragraph" w:styleId="BodyText3">
    <w:name w:val="Body Text 3"/>
    <w:basedOn w:val="Normal"/>
    <w:link w:val="BodyText3Char"/>
    <w:pPr>
      <w:jc w:val="both"/>
    </w:pPr>
  </w:style>
  <w:style w:type="paragraph" w:customStyle="1" w:styleId="BodyText4">
    <w:name w:val="Body Text 4"/>
    <w:basedOn w:val="BodyText3"/>
  </w:style>
  <w:style w:type="paragraph" w:customStyle="1" w:styleId="BodyText5">
    <w:name w:val="Body Text 5"/>
    <w:basedOn w:val="BodyText4"/>
    <w:pPr>
      <w:ind w:left="1440"/>
    </w:pPr>
  </w:style>
  <w:style w:type="paragraph" w:customStyle="1" w:styleId="Appendix1">
    <w:name w:val="Appendix 1"/>
    <w:basedOn w:val="Normal"/>
    <w:pPr>
      <w:numPr>
        <w:numId w:val="1"/>
      </w:numPr>
    </w:pPr>
  </w:style>
  <w:style w:type="paragraph" w:customStyle="1" w:styleId="Appendix2">
    <w:name w:val="Appendix 2"/>
    <w:basedOn w:val="Normal"/>
    <w:pPr>
      <w:numPr>
        <w:numId w:val="2"/>
      </w:numPr>
    </w:p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both"/>
    </w:pPr>
  </w:style>
  <w:style w:type="paragraph" w:styleId="BodyTextIndent">
    <w:name w:val="Body Text Indent"/>
    <w:basedOn w:val="Normal"/>
    <w:pPr>
      <w:ind w:left="720" w:hanging="720"/>
    </w:pPr>
    <w:rPr>
      <w:b/>
      <w:sz w:val="22"/>
    </w:rPr>
  </w:style>
  <w:style w:type="paragraph" w:styleId="BodyTextIndent2">
    <w:name w:val="Body Text Indent 2"/>
    <w:basedOn w:val="Normal"/>
    <w:pPr>
      <w:spacing w:line="288" w:lineRule="auto"/>
      <w:jc w:val="both"/>
    </w:pPr>
  </w:style>
  <w:style w:type="paragraph" w:styleId="BodyTextIndent3">
    <w:name w:val="Body Text Indent 3"/>
    <w:basedOn w:val="Normal"/>
    <w:pPr>
      <w:spacing w:line="287" w:lineRule="auto"/>
      <w:ind w:left="360"/>
      <w:jc w:val="both"/>
    </w:pPr>
  </w:style>
  <w:style w:type="paragraph" w:styleId="Caption">
    <w:name w:val="caption"/>
    <w:basedOn w:val="Normal"/>
    <w:next w:val="Normal"/>
    <w:qFormat/>
    <w:pPr>
      <w:framePr w:w="6109" w:h="3457" w:hRule="exact" w:vSpace="240" w:wrap="auto" w:vAnchor="text" w:hAnchor="page" w:x="8830" w:y="246"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0"/>
        <w:tab w:val="left" w:pos="360"/>
        <w:tab w:val="left" w:pos="1440"/>
        <w:tab w:val="left" w:pos="4680"/>
        <w:tab w:val="left" w:pos="51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723"/>
        <w:tab w:val="left" w:pos="14040"/>
        <w:tab w:val="left" w:pos="14616"/>
        <w:tab w:val="left" w:pos="14760"/>
        <w:tab w:val="left" w:pos="14976"/>
      </w:tabs>
      <w:jc w:val="both"/>
    </w:pPr>
    <w:rPr>
      <w:rFonts w:ascii="Arial" w:hAnsi="Arial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left" w:pos="-1440"/>
        <w:tab w:val="left" w:pos="-720"/>
        <w:tab w:val="left" w:pos="0"/>
        <w:tab w:val="left" w:pos="547"/>
        <w:tab w:val="left" w:pos="1080"/>
        <w:tab w:val="left" w:pos="1987"/>
        <w:tab w:val="left" w:pos="3067"/>
        <w:tab w:val="left" w:pos="3600"/>
        <w:tab w:val="center" w:pos="4320"/>
        <w:tab w:val="right" w:pos="8640"/>
      </w:tabs>
      <w:jc w:val="both"/>
    </w:pPr>
    <w:rPr>
      <w:rFonts w:ascii="CG Times" w:hAnsi="CG Times"/>
      <w:snapToGrid w:val="0"/>
    </w:rPr>
  </w:style>
  <w:style w:type="paragraph" w:styleId="ListBullet">
    <w:name w:val="List Bullet"/>
    <w:basedOn w:val="Normal"/>
    <w:autoRedefine/>
    <w:pPr>
      <w:numPr>
        <w:numId w:val="4"/>
      </w:numPr>
      <w:tabs>
        <w:tab w:val="clear" w:pos="720"/>
      </w:tabs>
      <w:jc w:val="both"/>
    </w:pPr>
  </w:style>
  <w:style w:type="paragraph" w:styleId="ListBullet2">
    <w:name w:val="List Bullet 2"/>
    <w:basedOn w:val="Normal"/>
    <w:autoRedefine/>
    <w:pPr>
      <w:numPr>
        <w:numId w:val="5"/>
      </w:numPr>
      <w:tabs>
        <w:tab w:val="clear" w:pos="360"/>
        <w:tab w:val="num" w:pos="-2250"/>
      </w:tabs>
      <w:spacing w:after="120"/>
      <w:ind w:left="648"/>
      <w:jc w:val="both"/>
    </w:pPr>
  </w:style>
  <w:style w:type="paragraph" w:styleId="ListBullet3">
    <w:name w:val="List Bullet 3"/>
    <w:basedOn w:val="Normal"/>
    <w:autoRedefine/>
    <w:pPr>
      <w:numPr>
        <w:numId w:val="113"/>
      </w:numPr>
      <w:tabs>
        <w:tab w:val="clear" w:pos="360"/>
        <w:tab w:val="left" w:pos="-2700"/>
      </w:tabs>
      <w:spacing w:after="120"/>
      <w:ind w:left="1260" w:hanging="270"/>
      <w:jc w:val="both"/>
    </w:pPr>
  </w:style>
  <w:style w:type="paragraph" w:styleId="ListBullet4">
    <w:name w:val="List Bullet 4"/>
    <w:basedOn w:val="Normal"/>
    <w:autoRedefine/>
    <w:pPr>
      <w:numPr>
        <w:numId w:val="6"/>
      </w:numPr>
      <w:tabs>
        <w:tab w:val="clear" w:pos="1656"/>
        <w:tab w:val="num" w:pos="1260"/>
      </w:tabs>
      <w:spacing w:after="120"/>
      <w:ind w:left="1296" w:hanging="288"/>
      <w:jc w:val="both"/>
    </w:pPr>
  </w:style>
  <w:style w:type="paragraph" w:styleId="ListNumber2">
    <w:name w:val="List Number 2"/>
    <w:basedOn w:val="Normal"/>
    <w:pPr>
      <w:numPr>
        <w:numId w:val="7"/>
      </w:numPr>
      <w:spacing w:after="120"/>
      <w:jc w:val="both"/>
    </w:pPr>
  </w:style>
  <w:style w:type="paragraph" w:styleId="ListNumber3">
    <w:name w:val="List Number 3"/>
    <w:basedOn w:val="Normal"/>
    <w:pPr>
      <w:numPr>
        <w:numId w:val="8"/>
      </w:numPr>
      <w:jc w:val="both"/>
    </w:pPr>
  </w:style>
  <w:style w:type="character" w:styleId="PageNumber">
    <w:name w:val="page number"/>
    <w:basedOn w:val="DefaultParagraphFont"/>
    <w:rPr>
      <w:rFonts w:ascii="Times New Roman" w:hAnsi="Times New Roman"/>
      <w:sz w:val="2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left" w:pos="1440"/>
        <w:tab w:val="right" w:leader="dot" w:pos="9058"/>
      </w:tabs>
      <w:spacing w:before="120" w:after="60"/>
      <w:ind w:left="720" w:hanging="720"/>
    </w:pPr>
    <w:rPr>
      <w:b/>
      <w:caps/>
      <w:noProof/>
      <w:sz w:val="22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leader="dot" w:pos="9062"/>
      </w:tabs>
      <w:spacing w:before="60" w:after="60"/>
      <w:jc w:val="both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720"/>
        <w:tab w:val="left" w:pos="990"/>
        <w:tab w:val="left" w:pos="1080"/>
        <w:tab w:val="left" w:pos="1440"/>
        <w:tab w:val="right" w:leader="dot" w:pos="9062"/>
      </w:tabs>
      <w:jc w:val="both"/>
    </w:pPr>
    <w:rPr>
      <w:noProof/>
      <w:sz w:val="22"/>
    </w:rPr>
  </w:style>
  <w:style w:type="paragraph" w:styleId="TOC4">
    <w:name w:val="toc 4"/>
    <w:basedOn w:val="Normal"/>
    <w:next w:val="Normal"/>
    <w:autoRedefine/>
    <w:semiHidden/>
    <w:pPr>
      <w:tabs>
        <w:tab w:val="left" w:pos="900"/>
        <w:tab w:val="left" w:pos="1440"/>
        <w:tab w:val="right" w:leader="dot" w:pos="9062"/>
      </w:tabs>
      <w:jc w:val="both"/>
    </w:pPr>
    <w:rPr>
      <w:noProof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u w:val="single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000080"/>
      <w:sz w:val="20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PlainText">
    <w:name w:val="Plain Text"/>
    <w:basedOn w:val="Normal"/>
    <w:pPr>
      <w:spacing w:after="60"/>
    </w:pPr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odyText3Char">
    <w:name w:val="Body Text 3 Char"/>
    <w:basedOn w:val="DefaultParagraphFont"/>
    <w:link w:val="BodyText3"/>
    <w:rsid w:val="00676649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661AE"/>
    <w:rPr>
      <w:sz w:val="24"/>
    </w:rPr>
  </w:style>
  <w:style w:type="paragraph" w:styleId="BalloonText">
    <w:name w:val="Balloon Text"/>
    <w:basedOn w:val="Normal"/>
    <w:link w:val="BalloonTextChar"/>
    <w:rsid w:val="002D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8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5487"/>
    <w:pPr>
      <w:spacing w:beforeLines="1" w:afterLines="1" w:after="200"/>
    </w:pPr>
    <w:rPr>
      <w:rFonts w:ascii="Times" w:hAnsi="Times"/>
      <w:sz w:val="20"/>
    </w:rPr>
  </w:style>
  <w:style w:type="character" w:styleId="Emphasis">
    <w:name w:val="Emphasis"/>
    <w:qFormat/>
    <w:rsid w:val="008E5487"/>
    <w:rPr>
      <w:i/>
    </w:rPr>
  </w:style>
  <w:style w:type="paragraph" w:styleId="CommentSubject">
    <w:name w:val="annotation subject"/>
    <w:basedOn w:val="CommentText"/>
    <w:next w:val="CommentText"/>
    <w:link w:val="CommentSubjectChar"/>
    <w:rsid w:val="000F0F0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F0B"/>
    <w:rPr>
      <w:sz w:val="24"/>
    </w:rPr>
  </w:style>
  <w:style w:type="character" w:customStyle="1" w:styleId="CommentSubjectChar">
    <w:name w:val="Comment Subject Char"/>
    <w:basedOn w:val="CommentTextChar"/>
    <w:link w:val="CommentSubject"/>
    <w:rsid w:val="000F0F0B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C27D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0CC7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6E5B88"/>
    <w:rPr>
      <w:color w:val="000000"/>
      <w:sz w:val="24"/>
    </w:rPr>
  </w:style>
  <w:style w:type="paragraph" w:styleId="Revision">
    <w:name w:val="Revision"/>
    <w:hidden/>
    <w:uiPriority w:val="99"/>
    <w:semiHidden/>
    <w:rsid w:val="004B72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AF18E-EC75-413A-AFE7-31FB45AE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462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Manual of Procedures</vt:lpstr>
    </vt:vector>
  </TitlesOfParts>
  <Company>The EMMES Corporation</Company>
  <LinksUpToDate>false</LinksUpToDate>
  <CharactersWithSpaces>3238</CharactersWithSpaces>
  <SharedDoc>false</SharedDoc>
  <HLinks>
    <vt:vector size="12" baseType="variant">
      <vt:variant>
        <vt:i4>3801205</vt:i4>
      </vt:variant>
      <vt:variant>
        <vt:i4>168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3801205</vt:i4>
      </vt:variant>
      <vt:variant>
        <vt:i4>165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Manual of Procedures</dc:title>
  <dc:subject>BMT CTN Technical MOP, version 3.0</dc:subject>
  <dc:creator>BMT CTN DCC</dc:creator>
  <cp:keywords/>
  <dc:description/>
  <cp:lastModifiedBy>Amy Foley</cp:lastModifiedBy>
  <cp:revision>3</cp:revision>
  <cp:lastPrinted>2013-03-13T19:52:00Z</cp:lastPrinted>
  <dcterms:created xsi:type="dcterms:W3CDTF">2022-06-27T16:12:00Z</dcterms:created>
  <dcterms:modified xsi:type="dcterms:W3CDTF">2022-06-27T17:47:00Z</dcterms:modified>
</cp:coreProperties>
</file>